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Default="00510F14" w:rsidP="00C255C1">
      <w:pPr>
        <w:spacing w:line="360" w:lineRule="auto"/>
        <w:rPr>
          <w:b/>
        </w:rPr>
      </w:pPr>
    </w:p>
    <w:p w:rsidR="00137555" w:rsidRPr="00E50A75" w:rsidRDefault="00E50A75" w:rsidP="00E50A75">
      <w:pPr>
        <w:spacing w:line="360" w:lineRule="auto"/>
        <w:jc w:val="center"/>
        <w:rPr>
          <w:b/>
        </w:rPr>
      </w:pPr>
      <w:r w:rsidRPr="00E50A75">
        <w:rPr>
          <w:b/>
        </w:rPr>
        <w:t>Указания за д</w:t>
      </w:r>
      <w:r w:rsidR="00170FE7" w:rsidRPr="00E50A75">
        <w:rPr>
          <w:b/>
        </w:rPr>
        <w:t>езинфекция в административни сгради</w:t>
      </w:r>
    </w:p>
    <w:p w:rsidR="00953C14" w:rsidRDefault="00953C14" w:rsidP="00C255C1">
      <w:pPr>
        <w:spacing w:line="360" w:lineRule="auto"/>
      </w:pPr>
    </w:p>
    <w:p w:rsidR="00571218" w:rsidRDefault="00571218" w:rsidP="00C255C1">
      <w:pPr>
        <w:spacing w:line="360" w:lineRule="auto"/>
        <w:rPr>
          <w:b/>
        </w:rPr>
      </w:pPr>
    </w:p>
    <w:p w:rsidR="00170FE7" w:rsidRPr="00170FE7" w:rsidRDefault="00571218" w:rsidP="00571218">
      <w:pPr>
        <w:spacing w:line="360" w:lineRule="auto"/>
        <w:rPr>
          <w:b/>
        </w:rPr>
      </w:pPr>
      <w:r w:rsidRPr="00170FE7">
        <w:rPr>
          <w:b/>
        </w:rPr>
        <w:t>Как се разпространява COVID-19</w:t>
      </w:r>
      <w:r w:rsidR="00170FE7" w:rsidRPr="00170FE7">
        <w:rPr>
          <w:b/>
        </w:rPr>
        <w:t>?</w:t>
      </w:r>
    </w:p>
    <w:p w:rsidR="00170FE7" w:rsidRDefault="00571218" w:rsidP="00170FE7">
      <w:pPr>
        <w:spacing w:line="360" w:lineRule="auto"/>
        <w:jc w:val="both"/>
      </w:pPr>
      <w:r>
        <w:t>Когато човек, заразен с COVID-19, се изкашля или издиша, във въздуха се освобождават капки заразна течност. Повечето от тези капки падат по о</w:t>
      </w:r>
      <w:r w:rsidR="00170FE7">
        <w:t>колните повърхности и предмети -</w:t>
      </w:r>
      <w:r>
        <w:t xml:space="preserve"> бюра, маси, телефони. Околните могат да се заразят с COVID-19, ако докоснат заразена повърхност или предмет и след това докоснат очите, носа или устата си. Ако са на един метър или по-близо до човек, заразен с COVID-19, могат да с</w:t>
      </w:r>
      <w:r w:rsidR="00170FE7">
        <w:t xml:space="preserve">е заразят и като вдишат капките, </w:t>
      </w:r>
      <w:r>
        <w:t xml:space="preserve">издишани от заразения човек. С други думи, вирусът COVID-19 се предава по начин, много подобен на грипа. </w:t>
      </w:r>
    </w:p>
    <w:p w:rsidR="00571218" w:rsidRPr="00170FE7" w:rsidRDefault="00571218" w:rsidP="00170FE7">
      <w:pPr>
        <w:spacing w:line="360" w:lineRule="auto"/>
        <w:jc w:val="both"/>
        <w:rPr>
          <w:b/>
        </w:rPr>
      </w:pPr>
      <w:r w:rsidRPr="00170FE7">
        <w:rPr>
          <w:b/>
        </w:rPr>
        <w:t>Как с прости мерки можете да предотвратите разпространението</w:t>
      </w:r>
      <w:r w:rsidR="00170FE7" w:rsidRPr="00170FE7">
        <w:rPr>
          <w:b/>
        </w:rPr>
        <w:t xml:space="preserve"> на COVID-19 на работното място?</w:t>
      </w:r>
    </w:p>
    <w:p w:rsidR="00571218" w:rsidRDefault="00571218" w:rsidP="00170FE7">
      <w:pPr>
        <w:spacing w:line="360" w:lineRule="auto"/>
        <w:jc w:val="both"/>
      </w:pPr>
      <w:r>
        <w:t>Мерките, изредени по-долу, не са скъпи и помагат за предотвратяване на разпространението на зарази като настинки, грип и стомашно-ч</w:t>
      </w:r>
      <w:r w:rsidR="00170FE7">
        <w:t xml:space="preserve">ревни вируси на работното място и предпазват клиентите Ви </w:t>
      </w:r>
      <w:r>
        <w:t xml:space="preserve">и служителите Ви. </w:t>
      </w:r>
    </w:p>
    <w:p w:rsidR="00571218" w:rsidRDefault="00571218" w:rsidP="00170FE7">
      <w:pPr>
        <w:spacing w:line="360" w:lineRule="auto"/>
        <w:jc w:val="both"/>
      </w:pPr>
      <w:r>
        <w:t xml:space="preserve">Работодателите трябва да въведат тези мерки незабавно, дори и COVID-19 да не е достигнал до съответното населено място. Това ще помогне за предотвратяване на загуба на </w:t>
      </w:r>
      <w:proofErr w:type="spellStart"/>
      <w:r>
        <w:t>работо</w:t>
      </w:r>
      <w:proofErr w:type="spellEnd"/>
      <w:r>
        <w:t xml:space="preserve">-дни поради заболявания и ще помогне да се спре или забави разпространението на COVID-19, ако достигне работните места, за които отговаря дружеството. </w:t>
      </w:r>
    </w:p>
    <w:p w:rsidR="00571218" w:rsidRDefault="00571218" w:rsidP="00170FE7">
      <w:pPr>
        <w:spacing w:line="360" w:lineRule="auto"/>
        <w:jc w:val="both"/>
      </w:pPr>
      <w:r>
        <w:sym w:font="Symbol" w:char="F0B7"/>
      </w:r>
      <w:r>
        <w:t xml:space="preserve"> Погрижете се работното място да е чисто и хигиенично: </w:t>
      </w:r>
    </w:p>
    <w:p w:rsidR="00571218" w:rsidRDefault="00571218" w:rsidP="00170FE7">
      <w:pPr>
        <w:spacing w:line="360" w:lineRule="auto"/>
        <w:jc w:val="both"/>
      </w:pPr>
      <w:r>
        <w:sym w:font="Symbol" w:char="F0B7"/>
      </w:r>
      <w:r>
        <w:t xml:space="preserve"> Повърхностите (бюра и маси) и предметите (телефони, клавиатури) трябва да бъдат редовно избърсвани с дезинфектант. Защо? Заразяването на повърхности, докосвани от служители и клиенти, е един от основните пътища на разпространение на заразата от COVID-19. </w:t>
      </w:r>
    </w:p>
    <w:p w:rsidR="00170FE7" w:rsidRDefault="00571218" w:rsidP="00170FE7">
      <w:pPr>
        <w:spacing w:line="360" w:lineRule="auto"/>
        <w:jc w:val="both"/>
      </w:pPr>
      <w:r>
        <w:sym w:font="Symbol" w:char="F0B7"/>
      </w:r>
      <w:r>
        <w:t xml:space="preserve"> Насърчете служителите, сътрудниците и клиентите да си мият ръцете редовно</w:t>
      </w:r>
      <w:r w:rsidR="00170FE7">
        <w:t xml:space="preserve"> и добре.</w:t>
      </w:r>
    </w:p>
    <w:p w:rsidR="00571218" w:rsidRDefault="00571218" w:rsidP="00170FE7">
      <w:pPr>
        <w:spacing w:line="360" w:lineRule="auto"/>
        <w:jc w:val="both"/>
      </w:pPr>
      <w:r>
        <w:sym w:font="Symbol" w:char="F0B7"/>
      </w:r>
      <w:r>
        <w:t xml:space="preserve"> Поставете </w:t>
      </w:r>
      <w:proofErr w:type="spellStart"/>
      <w:r>
        <w:t>диспенсъри</w:t>
      </w:r>
      <w:proofErr w:type="spellEnd"/>
      <w:r>
        <w:t xml:space="preserve"> с дезинфектант за ръце на видни места из работното място. Погрижете се да бъдат пълнени редовно. </w:t>
      </w:r>
    </w:p>
    <w:p w:rsidR="00571218" w:rsidRDefault="00571218" w:rsidP="00170FE7">
      <w:pPr>
        <w:spacing w:line="360" w:lineRule="auto"/>
        <w:jc w:val="both"/>
      </w:pPr>
      <w:r>
        <w:lastRenderedPageBreak/>
        <w:sym w:font="Symbol" w:char="F0B7"/>
      </w:r>
      <w:r>
        <w:t xml:space="preserve"> Окачете плакати, които насърчават миенето на ръце</w:t>
      </w:r>
      <w:r w:rsidR="00170FE7">
        <w:t xml:space="preserve">. </w:t>
      </w:r>
      <w:r>
        <w:t xml:space="preserve"> </w:t>
      </w:r>
    </w:p>
    <w:p w:rsidR="00571218" w:rsidRDefault="00571218" w:rsidP="00170FE7">
      <w:pPr>
        <w:spacing w:line="360" w:lineRule="auto"/>
        <w:jc w:val="both"/>
      </w:pPr>
      <w:r>
        <w:sym w:font="Symbol" w:char="F0B7"/>
      </w:r>
      <w:r>
        <w:t xml:space="preserve"> Комбинирайте това с други комуникационни мерки, например насоки от служителите по безопасност на труда, брифи</w:t>
      </w:r>
      <w:r w:rsidR="00170FE7">
        <w:t>нги на заседания и информация</w:t>
      </w:r>
      <w:r>
        <w:t xml:space="preserve">, насърчаващи миенето на ръце. </w:t>
      </w:r>
    </w:p>
    <w:p w:rsidR="00571218" w:rsidRDefault="00571218" w:rsidP="00170FE7">
      <w:pPr>
        <w:spacing w:line="360" w:lineRule="auto"/>
        <w:jc w:val="both"/>
      </w:pPr>
      <w:r>
        <w:sym w:font="Symbol" w:char="F0B7"/>
      </w:r>
      <w:r>
        <w:t xml:space="preserve"> Погрижете се служителите, сътрудниците и клиентите да имат достъп до места, където могат да и</w:t>
      </w:r>
      <w:r w:rsidR="00170FE7">
        <w:t xml:space="preserve">змият ръцете си с вода и сапун. </w:t>
      </w:r>
      <w:r>
        <w:t xml:space="preserve">Защо? Защото миенето убива вируса по ръцете и предотвратява разпространението на COVID-19. </w:t>
      </w:r>
    </w:p>
    <w:p w:rsidR="00A00C67" w:rsidRDefault="00571218" w:rsidP="00170FE7">
      <w:pPr>
        <w:spacing w:line="360" w:lineRule="auto"/>
        <w:jc w:val="both"/>
      </w:pPr>
      <w:r>
        <w:sym w:font="Symbol" w:char="F0B7"/>
      </w:r>
      <w:r>
        <w:t xml:space="preserve"> Насърчете добра респират</w:t>
      </w:r>
      <w:r w:rsidR="00170FE7">
        <w:t xml:space="preserve">орна хигиена на работното място. </w:t>
      </w:r>
      <w:r>
        <w:t xml:space="preserve">Окачете плакати, които насърчават към поддържане на добра респираторна хигиена на работното място. </w:t>
      </w:r>
    </w:p>
    <w:p w:rsidR="00A00C67" w:rsidRDefault="00571218" w:rsidP="00170FE7">
      <w:pPr>
        <w:spacing w:line="360" w:lineRule="auto"/>
        <w:jc w:val="both"/>
      </w:pPr>
      <w:r>
        <w:t xml:space="preserve"> </w:t>
      </w:r>
      <w:r>
        <w:sym w:font="Symbol" w:char="F0B7"/>
      </w:r>
      <w:r>
        <w:t xml:space="preserve"> Погрижете се на работното място да има на разположение защитни маски (обикновени хир</w:t>
      </w:r>
      <w:r w:rsidR="00170FE7">
        <w:t>ургически маски)</w:t>
      </w:r>
      <w:r>
        <w:t xml:space="preserve">, както и хартиени кърпички, за онези, които започнат да чувстват симптоми на хрема или кашлица, докато са на работа. Осигурете кошчета с капаци, където да могат да се изхвърлят кърпичките и маските. Защо? Защото добрата респираторна хигиена предотвратява разпространението на COVID-19. </w:t>
      </w:r>
    </w:p>
    <w:p w:rsidR="00A00C67" w:rsidRDefault="00A00C67" w:rsidP="00170FE7">
      <w:pPr>
        <w:spacing w:line="360" w:lineRule="auto"/>
        <w:jc w:val="both"/>
      </w:pPr>
    </w:p>
    <w:p w:rsidR="00170FE7" w:rsidRPr="00170FE7" w:rsidRDefault="00DE7781" w:rsidP="00170FE7">
      <w:pPr>
        <w:spacing w:line="360" w:lineRule="auto"/>
        <w:jc w:val="center"/>
        <w:rPr>
          <w:b/>
        </w:rPr>
      </w:pPr>
      <w:r w:rsidRPr="00170FE7">
        <w:rPr>
          <w:b/>
          <w:lang w:eastAsia="en-GB"/>
        </w:rPr>
        <w:t>Временни насоки за почистване в обекти, р</w:t>
      </w:r>
      <w:r w:rsidR="00170FE7">
        <w:rPr>
          <w:b/>
          <w:lang w:eastAsia="en-GB"/>
        </w:rPr>
        <w:t xml:space="preserve">азлични от лечебни заведения, във връзка с </w:t>
      </w:r>
      <w:proofErr w:type="spellStart"/>
      <w:r w:rsidR="00170FE7">
        <w:rPr>
          <w:b/>
          <w:lang w:eastAsia="en-GB"/>
        </w:rPr>
        <w:t>разпространието</w:t>
      </w:r>
      <w:proofErr w:type="spellEnd"/>
      <w:r w:rsidR="00170FE7">
        <w:rPr>
          <w:b/>
          <w:lang w:eastAsia="en-GB"/>
        </w:rPr>
        <w:t xml:space="preserve"> на </w:t>
      </w:r>
      <w:r w:rsidR="00170FE7" w:rsidRPr="00170FE7">
        <w:rPr>
          <w:b/>
        </w:rPr>
        <w:t>COVID-19.</w:t>
      </w:r>
    </w:p>
    <w:p w:rsidR="00DE7781" w:rsidRDefault="00DE7781" w:rsidP="00170FE7">
      <w:pPr>
        <w:spacing w:line="360" w:lineRule="auto"/>
        <w:rPr>
          <w:lang w:eastAsia="en-GB"/>
        </w:rPr>
      </w:pPr>
      <w:r>
        <w:rPr>
          <w:lang w:eastAsia="en-GB"/>
        </w:rPr>
        <w:t>Европейски център за превенция и контрол на заболяванията, Стокхолм, 2020</w:t>
      </w:r>
    </w:p>
    <w:p w:rsidR="00DE7781" w:rsidRDefault="00DE7781" w:rsidP="00DE7781">
      <w:pPr>
        <w:spacing w:line="360" w:lineRule="auto"/>
        <w:jc w:val="both"/>
        <w:rPr>
          <w:lang w:val="en-GB" w:eastAsia="en-GB"/>
        </w:rPr>
      </w:pPr>
      <w:r>
        <w:rPr>
          <w:lang w:eastAsia="en-GB"/>
        </w:rPr>
        <w:t>Документът е предназначен да осигури насоки за почистване в обекти, различни от лечебни заведения (напр. стаи, офиси, транспорт, училища и др.), където потвърдени случаи на 2019-nCoV са пребивавали преди хоспитализация.</w:t>
      </w:r>
    </w:p>
    <w:p w:rsidR="00A00C67" w:rsidRDefault="00DE7781" w:rsidP="00DE7781">
      <w:pPr>
        <w:spacing w:line="360" w:lineRule="auto"/>
        <w:jc w:val="both"/>
        <w:rPr>
          <w:lang w:eastAsia="en-GB"/>
        </w:rPr>
      </w:pPr>
      <w:r>
        <w:rPr>
          <w:lang w:eastAsia="en-GB"/>
        </w:rPr>
        <w:t xml:space="preserve">Насоките са изготвени на база настоящите знания за </w:t>
      </w:r>
      <w:r w:rsidR="00170FE7">
        <w:t>COVID-19</w:t>
      </w:r>
      <w:r>
        <w:rPr>
          <w:lang w:eastAsia="en-GB"/>
        </w:rPr>
        <w:t xml:space="preserve">, както и на данни от проучвания за други </w:t>
      </w:r>
      <w:proofErr w:type="spellStart"/>
      <w:r>
        <w:rPr>
          <w:lang w:eastAsia="en-GB"/>
        </w:rPr>
        <w:t>коронавируси</w:t>
      </w:r>
      <w:proofErr w:type="spellEnd"/>
      <w:r>
        <w:rPr>
          <w:lang w:eastAsia="en-GB"/>
        </w:rPr>
        <w:t>.</w:t>
      </w:r>
    </w:p>
    <w:p w:rsidR="00DE7781" w:rsidRDefault="00DE7781" w:rsidP="00DE7781">
      <w:pPr>
        <w:spacing w:line="360" w:lineRule="auto"/>
        <w:jc w:val="both"/>
        <w:rPr>
          <w:lang w:eastAsia="en-GB"/>
        </w:rPr>
      </w:pPr>
      <w:r>
        <w:rPr>
          <w:lang w:eastAsia="en-GB"/>
        </w:rPr>
        <w:t xml:space="preserve">Поради предполагаемата </w:t>
      </w:r>
      <w:proofErr w:type="spellStart"/>
      <w:r>
        <w:rPr>
          <w:lang w:eastAsia="en-GB"/>
        </w:rPr>
        <w:t>издържливост</w:t>
      </w:r>
      <w:proofErr w:type="spellEnd"/>
      <w:r>
        <w:rPr>
          <w:lang w:eastAsia="en-GB"/>
        </w:rPr>
        <w:t xml:space="preserve"> на вируса от няколко дни в околната среда, повърхности и зони, потенциално замърсени с </w:t>
      </w:r>
      <w:r w:rsidR="00170FE7">
        <w:t xml:space="preserve">COVID-19 </w:t>
      </w:r>
      <w:r>
        <w:rPr>
          <w:lang w:eastAsia="en-GB"/>
        </w:rPr>
        <w:t xml:space="preserve">трябва да се почистват преди всяка употреба с препарати, съдържащи </w:t>
      </w:r>
      <w:proofErr w:type="spellStart"/>
      <w:r>
        <w:rPr>
          <w:lang w:eastAsia="en-GB"/>
        </w:rPr>
        <w:t>антимикробни</w:t>
      </w:r>
      <w:proofErr w:type="spellEnd"/>
      <w:r>
        <w:rPr>
          <w:lang w:eastAsia="en-GB"/>
        </w:rPr>
        <w:t xml:space="preserve"> агенти с известна ефективност срещу </w:t>
      </w:r>
      <w:proofErr w:type="spellStart"/>
      <w:r>
        <w:rPr>
          <w:lang w:eastAsia="en-GB"/>
        </w:rPr>
        <w:t>коронавируси</w:t>
      </w:r>
      <w:proofErr w:type="spellEnd"/>
      <w:r>
        <w:rPr>
          <w:lang w:eastAsia="en-GB"/>
        </w:rPr>
        <w:t xml:space="preserve">. Въпреки липсата на специфични данни за тяхната ефективност срещу </w:t>
      </w:r>
      <w:r w:rsidR="00170FE7">
        <w:t>COVID-19</w:t>
      </w:r>
      <w:r>
        <w:rPr>
          <w:lang w:eastAsia="en-GB"/>
        </w:rPr>
        <w:t xml:space="preserve">, почистването с вода и миещи препарати за домашна употреба, както и употребата на </w:t>
      </w:r>
      <w:proofErr w:type="spellStart"/>
      <w:r>
        <w:rPr>
          <w:lang w:eastAsia="en-GB"/>
        </w:rPr>
        <w:t>широкоизвестни</w:t>
      </w:r>
      <w:proofErr w:type="spellEnd"/>
      <w:r>
        <w:rPr>
          <w:lang w:eastAsia="en-GB"/>
        </w:rPr>
        <w:t xml:space="preserve"> дезинфектанти би трябвало да е достатъчно за общо предпазно почистване. Няколко </w:t>
      </w:r>
      <w:proofErr w:type="spellStart"/>
      <w:r>
        <w:rPr>
          <w:lang w:eastAsia="en-GB"/>
        </w:rPr>
        <w:t>антимикробни</w:t>
      </w:r>
      <w:proofErr w:type="spellEnd"/>
      <w:r>
        <w:rPr>
          <w:lang w:eastAsia="en-GB"/>
        </w:rPr>
        <w:t xml:space="preserve"> агента са изследвани срещу различни </w:t>
      </w:r>
      <w:proofErr w:type="spellStart"/>
      <w:r>
        <w:rPr>
          <w:lang w:eastAsia="en-GB"/>
        </w:rPr>
        <w:t>коронавируси</w:t>
      </w:r>
      <w:proofErr w:type="spellEnd"/>
      <w:r>
        <w:rPr>
          <w:lang w:eastAsia="en-GB"/>
        </w:rPr>
        <w:t xml:space="preserve"> (Таблица 1). Някои от активните съставки, напр. натриев </w:t>
      </w:r>
      <w:proofErr w:type="spellStart"/>
      <w:r>
        <w:rPr>
          <w:lang w:eastAsia="en-GB"/>
        </w:rPr>
        <w:t>хипохлорит</w:t>
      </w:r>
      <w:proofErr w:type="spellEnd"/>
      <w:r>
        <w:rPr>
          <w:lang w:eastAsia="en-GB"/>
        </w:rPr>
        <w:t xml:space="preserve"> (съдържащ се в белината за домашна употреба) и етанола се използват често в различни помещения и места, различни от лечебни и лабораторни заведения. </w:t>
      </w:r>
    </w:p>
    <w:p w:rsidR="00A00C67" w:rsidRDefault="00A00C67" w:rsidP="00DE7781">
      <w:pPr>
        <w:spacing w:line="360" w:lineRule="auto"/>
        <w:jc w:val="both"/>
        <w:rPr>
          <w:lang w:eastAsia="en-GB"/>
        </w:rPr>
      </w:pPr>
    </w:p>
    <w:p w:rsidR="00DE7781" w:rsidRDefault="00DE7781" w:rsidP="00DE7781">
      <w:pPr>
        <w:spacing w:line="360" w:lineRule="auto"/>
        <w:jc w:val="both"/>
        <w:rPr>
          <w:b/>
          <w:lang w:eastAsia="en-GB"/>
        </w:rPr>
      </w:pPr>
      <w:proofErr w:type="spellStart"/>
      <w:r>
        <w:rPr>
          <w:b/>
          <w:lang w:eastAsia="en-GB"/>
        </w:rPr>
        <w:t>Table</w:t>
      </w:r>
      <w:proofErr w:type="spellEnd"/>
      <w:r>
        <w:rPr>
          <w:b/>
          <w:lang w:eastAsia="en-GB"/>
        </w:rPr>
        <w:t xml:space="preserve"> 1. </w:t>
      </w:r>
      <w:proofErr w:type="spellStart"/>
      <w:r>
        <w:rPr>
          <w:b/>
          <w:lang w:eastAsia="en-GB"/>
        </w:rPr>
        <w:t>Антимикробни</w:t>
      </w:r>
      <w:proofErr w:type="spellEnd"/>
      <w:r>
        <w:rPr>
          <w:b/>
          <w:lang w:eastAsia="en-GB"/>
        </w:rPr>
        <w:t xml:space="preserve"> агенти, ефективни срещу различни </w:t>
      </w:r>
      <w:proofErr w:type="spellStart"/>
      <w:r>
        <w:rPr>
          <w:b/>
          <w:lang w:eastAsia="en-GB"/>
        </w:rPr>
        <w:t>коронавируси</w:t>
      </w:r>
      <w:proofErr w:type="spellEnd"/>
      <w:r>
        <w:rPr>
          <w:b/>
          <w:lang w:eastAsia="en-GB"/>
        </w:rPr>
        <w:t>:</w:t>
      </w:r>
    </w:p>
    <w:tbl>
      <w:tblPr>
        <w:tblStyle w:val="af0"/>
        <w:tblW w:w="4508" w:type="dxa"/>
        <w:tblLook w:val="04A0" w:firstRow="1" w:lastRow="0" w:firstColumn="1" w:lastColumn="0" w:noHBand="0" w:noVBand="1"/>
      </w:tblPr>
      <w:tblGrid>
        <w:gridCol w:w="2254"/>
        <w:gridCol w:w="2254"/>
      </w:tblGrid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67" w:rsidRDefault="00A00C67">
            <w:pPr>
              <w:jc w:val="center"/>
              <w:rPr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b/>
                <w:sz w:val="20"/>
                <w:szCs w:val="20"/>
                <w:lang w:eastAsia="en-GB"/>
              </w:rPr>
              <w:lastRenderedPageBreak/>
              <w:t>Антимикробен</w:t>
            </w:r>
            <w:proofErr w:type="spellEnd"/>
            <w:r>
              <w:rPr>
                <w:b/>
                <w:sz w:val="20"/>
                <w:szCs w:val="20"/>
                <w:lang w:eastAsia="en-GB"/>
              </w:rPr>
              <w:t xml:space="preserve"> агент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C67" w:rsidRDefault="00A00C67">
            <w:pPr>
              <w:jc w:val="center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Концентрация</w:t>
            </w:r>
          </w:p>
        </w:tc>
      </w:tr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ind w:firstLine="720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Етанол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70 %</w:t>
            </w:r>
          </w:p>
        </w:tc>
      </w:tr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Натриев </w:t>
            </w:r>
            <w:proofErr w:type="spellStart"/>
            <w:r>
              <w:rPr>
                <w:sz w:val="20"/>
                <w:szCs w:val="20"/>
                <w:lang w:eastAsia="en-GB"/>
              </w:rPr>
              <w:t>хипохлорит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0,1-0,5%</w:t>
            </w:r>
          </w:p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0,05-0,1%</w:t>
            </w:r>
          </w:p>
        </w:tc>
      </w:tr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Глутаров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алдехид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2%</w:t>
            </w:r>
          </w:p>
        </w:tc>
      </w:tr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Повидон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–йод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10 % (1 % йод)</w:t>
            </w:r>
          </w:p>
        </w:tc>
      </w:tr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Изопропанол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50%</w:t>
            </w:r>
          </w:p>
        </w:tc>
      </w:tr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Бензалкониев</w:t>
            </w:r>
            <w:proofErr w:type="spellEnd"/>
            <w:r>
              <w:rPr>
                <w:sz w:val="20"/>
                <w:szCs w:val="20"/>
                <w:lang w:eastAsia="en-GB"/>
              </w:rPr>
              <w:t xml:space="preserve"> хлорид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0,05%</w:t>
            </w:r>
          </w:p>
        </w:tc>
      </w:tr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Натриев </w:t>
            </w:r>
            <w:proofErr w:type="spellStart"/>
            <w:r>
              <w:rPr>
                <w:sz w:val="20"/>
                <w:szCs w:val="20"/>
                <w:lang w:eastAsia="en-GB"/>
              </w:rPr>
              <w:t>хлорит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0,23%</w:t>
            </w:r>
          </w:p>
        </w:tc>
      </w:tr>
      <w:tr w:rsidR="00A00C67" w:rsidTr="00A00C6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proofErr w:type="spellStart"/>
            <w:r>
              <w:rPr>
                <w:sz w:val="20"/>
                <w:szCs w:val="20"/>
                <w:lang w:eastAsia="en-GB"/>
              </w:rPr>
              <w:t>Формалдехид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67" w:rsidRDefault="00A00C67">
            <w:pPr>
              <w:spacing w:line="360" w:lineRule="auto"/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0,7%</w:t>
            </w:r>
          </w:p>
        </w:tc>
      </w:tr>
    </w:tbl>
    <w:p w:rsidR="00DE7781" w:rsidRDefault="00DE7781" w:rsidP="00DE7781">
      <w:pPr>
        <w:spacing w:line="360" w:lineRule="auto"/>
        <w:jc w:val="both"/>
        <w:rPr>
          <w:lang w:val="en-GB" w:eastAsia="en-GB"/>
        </w:rPr>
      </w:pPr>
    </w:p>
    <w:p w:rsidR="00DE7781" w:rsidRDefault="00DE7781" w:rsidP="00DE7781">
      <w:pPr>
        <w:spacing w:line="360" w:lineRule="auto"/>
        <w:jc w:val="both"/>
        <w:rPr>
          <w:b/>
          <w:lang w:eastAsia="en-GB"/>
        </w:rPr>
      </w:pPr>
      <w:r>
        <w:rPr>
          <w:b/>
          <w:lang w:eastAsia="en-GB"/>
        </w:rPr>
        <w:t>Почистващи подходи</w:t>
      </w:r>
    </w:p>
    <w:p w:rsidR="00A00C67" w:rsidRDefault="00DE7781" w:rsidP="00A00C67">
      <w:pPr>
        <w:spacing w:line="360" w:lineRule="auto"/>
        <w:jc w:val="both"/>
        <w:rPr>
          <w:lang w:eastAsia="en-GB"/>
        </w:rPr>
      </w:pPr>
      <w:r>
        <w:rPr>
          <w:lang w:eastAsia="en-GB"/>
        </w:rPr>
        <w:t xml:space="preserve">Употребата на 0.1% натриев </w:t>
      </w:r>
      <w:proofErr w:type="spellStart"/>
      <w:r>
        <w:rPr>
          <w:lang w:eastAsia="en-GB"/>
        </w:rPr>
        <w:t>хипохлорит</w:t>
      </w:r>
      <w:proofErr w:type="spellEnd"/>
      <w:r>
        <w:rPr>
          <w:lang w:eastAsia="en-GB"/>
        </w:rPr>
        <w:t xml:space="preserve"> (разреждане 1:50 ако домашния препарат на белина е с първоначална </w:t>
      </w:r>
      <w:proofErr w:type="spellStart"/>
      <w:r>
        <w:rPr>
          <w:lang w:eastAsia="en-GB"/>
        </w:rPr>
        <w:t>консентрация</w:t>
      </w:r>
      <w:proofErr w:type="spellEnd"/>
      <w:r>
        <w:rPr>
          <w:lang w:eastAsia="en-GB"/>
        </w:rPr>
        <w:t xml:space="preserve"> 5%) след почистване с неутрален почистващ препарат се препоръчва за </w:t>
      </w:r>
      <w:proofErr w:type="spellStart"/>
      <w:r>
        <w:rPr>
          <w:lang w:eastAsia="en-GB"/>
        </w:rPr>
        <w:t>деконтаминация</w:t>
      </w:r>
      <w:proofErr w:type="spellEnd"/>
      <w:r w:rsidR="00170FE7">
        <w:rPr>
          <w:lang w:eastAsia="en-GB"/>
        </w:rPr>
        <w:t xml:space="preserve">. </w:t>
      </w:r>
      <w:r>
        <w:rPr>
          <w:lang w:eastAsia="en-GB"/>
        </w:rPr>
        <w:t xml:space="preserve">За повърхности, които могат да се увредят от натриев </w:t>
      </w:r>
      <w:proofErr w:type="spellStart"/>
      <w:r>
        <w:rPr>
          <w:lang w:eastAsia="en-GB"/>
        </w:rPr>
        <w:t>хипохлорит</w:t>
      </w:r>
      <w:proofErr w:type="spellEnd"/>
      <w:r>
        <w:rPr>
          <w:lang w:eastAsia="en-GB"/>
        </w:rPr>
        <w:t xml:space="preserve"> е необходимо да се приложи 70% разтвор на етанол за </w:t>
      </w:r>
      <w:proofErr w:type="spellStart"/>
      <w:r>
        <w:rPr>
          <w:lang w:eastAsia="en-GB"/>
        </w:rPr>
        <w:t>деконтаминация</w:t>
      </w:r>
      <w:proofErr w:type="spellEnd"/>
      <w:r>
        <w:rPr>
          <w:lang w:eastAsia="en-GB"/>
        </w:rPr>
        <w:t xml:space="preserve"> след почистване с неутрален почистващ препарат. Почистването се извършва като се използват лични предпазни средства. </w:t>
      </w:r>
    </w:p>
    <w:p w:rsidR="00DE7781" w:rsidRDefault="00DE7781" w:rsidP="00DE7781">
      <w:pPr>
        <w:spacing w:line="360" w:lineRule="auto"/>
        <w:jc w:val="both"/>
        <w:rPr>
          <w:lang w:eastAsia="en-GB"/>
        </w:rPr>
      </w:pPr>
      <w:r>
        <w:rPr>
          <w:lang w:eastAsia="en-GB"/>
        </w:rPr>
        <w:t>Когато се използват други химически продукти, се следват указанията на производителя за приготвяне и употреба на работни разтвори. При употреба на химически препарати за почистване е от съществено значение проветряването на помещението (напр. чрез отваряне на прозорци) с цел предпазване здравето на персонала.</w:t>
      </w:r>
    </w:p>
    <w:p w:rsidR="00DE7781" w:rsidRDefault="00DE7781" w:rsidP="00DE7781">
      <w:pPr>
        <w:spacing w:line="360" w:lineRule="auto"/>
        <w:jc w:val="both"/>
        <w:rPr>
          <w:lang w:eastAsia="en-GB"/>
        </w:rPr>
      </w:pPr>
      <w:r>
        <w:rPr>
          <w:lang w:eastAsia="en-GB"/>
        </w:rPr>
        <w:t xml:space="preserve">Всички честно докосвани зони, като достъпни повърхности на стени и прозорци, тоалетни чинии и повърхности в бани трябва да се почистват внимателно. Всички текстилни материи (напр. спално бельо, завеси и др.) трябва да се изперат с гореща вода (90°C) и перилен препарат. Ако гореща вода не може да се използва, поради състава на материята, трябва да се добавят специфични химикали при изпирането (напр. белина или перилни препарати, съдържащи натриев </w:t>
      </w:r>
      <w:proofErr w:type="spellStart"/>
      <w:r>
        <w:rPr>
          <w:lang w:eastAsia="en-GB"/>
        </w:rPr>
        <w:t>хипохлорит</w:t>
      </w:r>
      <w:proofErr w:type="spellEnd"/>
      <w:r>
        <w:rPr>
          <w:lang w:eastAsia="en-GB"/>
        </w:rPr>
        <w:t xml:space="preserve"> или </w:t>
      </w:r>
      <w:proofErr w:type="spellStart"/>
      <w:r>
        <w:rPr>
          <w:lang w:eastAsia="en-GB"/>
        </w:rPr>
        <w:t>деконтаминиращи</w:t>
      </w:r>
      <w:proofErr w:type="spellEnd"/>
      <w:r>
        <w:rPr>
          <w:lang w:eastAsia="en-GB"/>
        </w:rPr>
        <w:t xml:space="preserve"> продукти за текстил).</w:t>
      </w:r>
    </w:p>
    <w:p w:rsidR="00DE7781" w:rsidRDefault="00DE7781" w:rsidP="00DE7781">
      <w:pPr>
        <w:spacing w:line="360" w:lineRule="auto"/>
        <w:jc w:val="both"/>
        <w:rPr>
          <w:lang w:eastAsia="en-GB"/>
        </w:rPr>
      </w:pPr>
      <w:r>
        <w:rPr>
          <w:lang w:eastAsia="en-GB"/>
        </w:rPr>
        <w:t xml:space="preserve">Министерство на здравеопазването, съгласно нормативните изисквания, поддържа на интернет-страницата си </w:t>
      </w:r>
      <w:r>
        <w:rPr>
          <w:b/>
          <w:lang w:eastAsia="en-GB"/>
        </w:rPr>
        <w:t xml:space="preserve">Регистър на </w:t>
      </w:r>
      <w:proofErr w:type="spellStart"/>
      <w:r>
        <w:rPr>
          <w:b/>
          <w:lang w:eastAsia="en-GB"/>
        </w:rPr>
        <w:t>биоцидите</w:t>
      </w:r>
      <w:proofErr w:type="spellEnd"/>
      <w:r>
        <w:rPr>
          <w:lang w:eastAsia="en-GB"/>
        </w:rPr>
        <w:t>, за които има издадено разрешение за предоставяне на пазара. Регистърът се актуализира най-малко веднъж месечно.</w:t>
      </w:r>
    </w:p>
    <w:p w:rsidR="00DE7781" w:rsidRDefault="00DE7781" w:rsidP="00DE7781">
      <w:pPr>
        <w:spacing w:line="360" w:lineRule="auto"/>
        <w:jc w:val="both"/>
        <w:rPr>
          <w:lang w:eastAsia="en-GB"/>
        </w:rPr>
      </w:pPr>
      <w:r>
        <w:rPr>
          <w:lang w:eastAsia="en-GB"/>
        </w:rPr>
        <w:t xml:space="preserve">При използване на </w:t>
      </w:r>
      <w:proofErr w:type="spellStart"/>
      <w:r>
        <w:rPr>
          <w:lang w:eastAsia="en-GB"/>
        </w:rPr>
        <w:t>биоциди</w:t>
      </w:r>
      <w:proofErr w:type="spellEnd"/>
      <w:r>
        <w:rPr>
          <w:lang w:eastAsia="en-GB"/>
        </w:rPr>
        <w:t>, за постигане на посочената в етикета или разрешението степен на дезинфекция, употребата им трябва да се извършва при стриктно спазване на указанията за употреба.</w:t>
      </w:r>
    </w:p>
    <w:p w:rsidR="007430CD" w:rsidRDefault="007430CD" w:rsidP="007B6F38">
      <w:pPr>
        <w:spacing w:after="120" w:line="360" w:lineRule="auto"/>
        <w:ind w:right="204"/>
        <w:jc w:val="both"/>
        <w:rPr>
          <w:b/>
          <w:color w:val="000000"/>
        </w:rPr>
      </w:pPr>
    </w:p>
    <w:p w:rsidR="006A33FD" w:rsidRDefault="006A33FD" w:rsidP="00191C41">
      <w:pPr>
        <w:rPr>
          <w:color w:val="FFFFFF"/>
          <w:lang w:val="ru-RU"/>
        </w:rPr>
      </w:pPr>
      <w:bookmarkStart w:id="0" w:name="_GoBack"/>
      <w:bookmarkEnd w:id="0"/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Pr="000320A6" w:rsidRDefault="006A33FD" w:rsidP="00191C41">
      <w:pPr>
        <w:rPr>
          <w:b/>
          <w:i/>
          <w:lang w:val="ru-RU"/>
        </w:rPr>
      </w:pPr>
    </w:p>
    <w:sectPr w:rsidR="006A33FD" w:rsidRPr="000320A6" w:rsidSect="006A3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CE" w:rsidRDefault="00EF33CE" w:rsidP="00D5329D">
      <w:r>
        <w:separator/>
      </w:r>
    </w:p>
  </w:endnote>
  <w:endnote w:type="continuationSeparator" w:id="0">
    <w:p w:rsidR="00EF33CE" w:rsidRDefault="00EF33C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CE" w:rsidRDefault="00EF33CE" w:rsidP="00D5329D">
      <w:r>
        <w:separator/>
      </w:r>
    </w:p>
  </w:footnote>
  <w:footnote w:type="continuationSeparator" w:id="0">
    <w:p w:rsidR="00EF33CE" w:rsidRDefault="00EF33C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137555"/>
    <w:rsid w:val="0015281E"/>
    <w:rsid w:val="00170FE7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A2ECA"/>
    <w:rsid w:val="002D025D"/>
    <w:rsid w:val="002E4449"/>
    <w:rsid w:val="003045AE"/>
    <w:rsid w:val="003137DD"/>
    <w:rsid w:val="00325DFC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A2FDE"/>
    <w:rsid w:val="00510F14"/>
    <w:rsid w:val="00530371"/>
    <w:rsid w:val="005320BF"/>
    <w:rsid w:val="00553C0F"/>
    <w:rsid w:val="005566E0"/>
    <w:rsid w:val="00571218"/>
    <w:rsid w:val="00583E07"/>
    <w:rsid w:val="00596D79"/>
    <w:rsid w:val="005B14FD"/>
    <w:rsid w:val="005C6215"/>
    <w:rsid w:val="00645693"/>
    <w:rsid w:val="0064768F"/>
    <w:rsid w:val="00652F94"/>
    <w:rsid w:val="00697012"/>
    <w:rsid w:val="006A33FD"/>
    <w:rsid w:val="006B47F4"/>
    <w:rsid w:val="006B5130"/>
    <w:rsid w:val="00700106"/>
    <w:rsid w:val="00705EA2"/>
    <w:rsid w:val="0072606C"/>
    <w:rsid w:val="00734564"/>
    <w:rsid w:val="00734CC7"/>
    <w:rsid w:val="007430CD"/>
    <w:rsid w:val="007452CA"/>
    <w:rsid w:val="00757098"/>
    <w:rsid w:val="00777EE2"/>
    <w:rsid w:val="007B6F38"/>
    <w:rsid w:val="007C061B"/>
    <w:rsid w:val="007C4880"/>
    <w:rsid w:val="007D7DD3"/>
    <w:rsid w:val="0082407D"/>
    <w:rsid w:val="00844071"/>
    <w:rsid w:val="00862A82"/>
    <w:rsid w:val="008725EA"/>
    <w:rsid w:val="008A19F4"/>
    <w:rsid w:val="008A6EF0"/>
    <w:rsid w:val="008F02FB"/>
    <w:rsid w:val="00915917"/>
    <w:rsid w:val="00953C14"/>
    <w:rsid w:val="00967EB1"/>
    <w:rsid w:val="00983799"/>
    <w:rsid w:val="009945AF"/>
    <w:rsid w:val="009A0D44"/>
    <w:rsid w:val="009A33B7"/>
    <w:rsid w:val="009D3948"/>
    <w:rsid w:val="00A00C67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D4B02"/>
    <w:rsid w:val="00BF0B3D"/>
    <w:rsid w:val="00BF1DDB"/>
    <w:rsid w:val="00BF49D0"/>
    <w:rsid w:val="00BF52AE"/>
    <w:rsid w:val="00C255C1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507A3"/>
    <w:rsid w:val="00D5329D"/>
    <w:rsid w:val="00DA5CAB"/>
    <w:rsid w:val="00DE7781"/>
    <w:rsid w:val="00DF16D0"/>
    <w:rsid w:val="00E30E00"/>
    <w:rsid w:val="00E50A75"/>
    <w:rsid w:val="00E91EE6"/>
    <w:rsid w:val="00E92F4B"/>
    <w:rsid w:val="00E97715"/>
    <w:rsid w:val="00EA650D"/>
    <w:rsid w:val="00EC684B"/>
    <w:rsid w:val="00ED58A0"/>
    <w:rsid w:val="00ED7D00"/>
    <w:rsid w:val="00EF33CE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999E-0C7A-46B8-BB9D-7B034361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7</cp:revision>
  <cp:lastPrinted>2019-09-02T06:52:00Z</cp:lastPrinted>
  <dcterms:created xsi:type="dcterms:W3CDTF">2020-02-19T08:27:00Z</dcterms:created>
  <dcterms:modified xsi:type="dcterms:W3CDTF">2020-03-09T12:10:00Z</dcterms:modified>
</cp:coreProperties>
</file>